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93DB" w14:textId="3C3A5E47" w:rsidR="007B414D" w:rsidRDefault="007B414D" w:rsidP="007B414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2.- OESTE</w:t>
      </w:r>
    </w:p>
    <w:p w14:paraId="3B9B69F2" w14:textId="77777777" w:rsidR="006D4B44" w:rsidRPr="008C35A0" w:rsidRDefault="006D4B44" w:rsidP="006D4B44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  <w:i/>
          <w:iCs/>
        </w:rPr>
      </w:pPr>
      <w:r w:rsidRPr="008C35A0">
        <w:rPr>
          <w:rFonts w:ascii="Calibri" w:eastAsia="Calibri" w:hAnsi="Calibri" w:cs="Calibri"/>
          <w:i/>
          <w:iCs/>
        </w:rPr>
        <w:t xml:space="preserve">IIII </w:t>
      </w:r>
      <w:r w:rsidRPr="008C35A0">
        <w:rPr>
          <w:rFonts w:ascii="Calibri" w:eastAsia="Calibri" w:hAnsi="Calibri" w:cs="Calibri"/>
          <w:i/>
          <w:iCs/>
        </w:rPr>
        <w:tab/>
      </w:r>
      <w:r w:rsidRPr="008C35A0">
        <w:rPr>
          <w:rFonts w:ascii="Calibri" w:eastAsia="Calibri" w:hAnsi="Calibri" w:cs="Calibri"/>
          <w:i/>
          <w:iCs/>
        </w:rPr>
        <w:tab/>
        <w:t>KŁ</w:t>
      </w:r>
    </w:p>
    <w:p w14:paraId="543C43BA" w14:textId="77777777" w:rsidR="006D4B44" w:rsidRPr="008C35A0" w:rsidRDefault="006D4B44" w:rsidP="006D4B44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  <w:i/>
          <w:iCs/>
        </w:rPr>
      </w:pPr>
      <w:proofErr w:type="spellStart"/>
      <w:r w:rsidRPr="008C35A0">
        <w:rPr>
          <w:rFonts w:ascii="Calibri" w:eastAsia="Calibri" w:hAnsi="Calibri" w:cs="Calibri"/>
          <w:i/>
          <w:iCs/>
        </w:rPr>
        <w:t>DECƀ</w:t>
      </w:r>
      <w:proofErr w:type="spellEnd"/>
      <w:r w:rsidRPr="008C35A0">
        <w:rPr>
          <w:rFonts w:ascii="Calibri" w:eastAsia="Calibri" w:hAnsi="Calibri" w:cs="Calibri"/>
          <w:i/>
          <w:iCs/>
        </w:rPr>
        <w:t xml:space="preserve"> </w:t>
      </w:r>
      <w:r w:rsidRPr="008C35A0">
        <w:rPr>
          <w:rFonts w:ascii="Calibri" w:eastAsia="Calibri" w:hAnsi="Calibri" w:cs="Calibri"/>
          <w:i/>
          <w:iCs/>
        </w:rPr>
        <w:tab/>
        <w:t>OBIIT</w:t>
      </w:r>
    </w:p>
    <w:p w14:paraId="26FF161B" w14:textId="77777777" w:rsidR="006D4B44" w:rsidRPr="008C35A0" w:rsidRDefault="006D4B44" w:rsidP="006D4B44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  <w:i/>
          <w:iCs/>
        </w:rPr>
      </w:pPr>
      <w:r w:rsidRPr="008C35A0">
        <w:rPr>
          <w:rFonts w:ascii="Calibri" w:eastAsia="Calibri" w:hAnsi="Calibri" w:cs="Calibri"/>
          <w:i/>
          <w:iCs/>
        </w:rPr>
        <w:t>PET</w:t>
      </w:r>
      <w:r w:rsidRPr="008C35A0">
        <w:rPr>
          <w:rFonts w:ascii="Calibri" w:eastAsia="Calibri" w:hAnsi="Calibri" w:cs="Calibri"/>
          <w:i/>
          <w:iCs/>
        </w:rPr>
        <w:tab/>
      </w:r>
      <w:r w:rsidRPr="008C35A0">
        <w:rPr>
          <w:rFonts w:ascii="Calibri" w:eastAsia="Calibri" w:hAnsi="Calibri" w:cs="Calibri"/>
          <w:i/>
          <w:iCs/>
        </w:rPr>
        <w:tab/>
        <w:t>RVZ</w:t>
      </w:r>
    </w:p>
    <w:p w14:paraId="22FFD3FD" w14:textId="77777777" w:rsidR="006D4B44" w:rsidRDefault="006D4B44" w:rsidP="006D4B44">
      <w:pPr>
        <w:numPr>
          <w:ilvl w:val="0"/>
          <w:numId w:val="1"/>
        </w:numPr>
        <w:spacing w:after="200" w:line="276" w:lineRule="auto"/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CNI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CV’</w:t>
      </w:r>
    </w:p>
    <w:p w14:paraId="4B746401" w14:textId="77777777" w:rsidR="006D4B44" w:rsidRDefault="006D4B44" w:rsidP="006D4B44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4 k(a)l(endas) </w:t>
      </w:r>
      <w:proofErr w:type="spellStart"/>
      <w:r>
        <w:rPr>
          <w:rFonts w:ascii="Calibri" w:eastAsia="Calibri" w:hAnsi="Calibri" w:cs="Calibri"/>
          <w:i/>
        </w:rPr>
        <w:t>dec</w:t>
      </w:r>
      <w:proofErr w:type="spellEnd"/>
      <w:r>
        <w:rPr>
          <w:rFonts w:ascii="Calibri" w:eastAsia="Calibri" w:hAnsi="Calibri" w:cs="Calibri"/>
          <w:i/>
        </w:rPr>
        <w:t>(em)b(</w:t>
      </w:r>
      <w:proofErr w:type="spellStart"/>
      <w:r>
        <w:rPr>
          <w:rFonts w:ascii="Calibri" w:eastAsia="Calibri" w:hAnsi="Calibri" w:cs="Calibri"/>
          <w:i/>
        </w:rPr>
        <w:t>ris</w:t>
      </w:r>
      <w:proofErr w:type="spellEnd"/>
      <w:r>
        <w:rPr>
          <w:rFonts w:ascii="Calibri" w:eastAsia="Calibri" w:hAnsi="Calibri" w:cs="Calibri"/>
          <w:i/>
        </w:rPr>
        <w:t xml:space="preserve">) </w:t>
      </w:r>
      <w:proofErr w:type="spellStart"/>
      <w:r>
        <w:rPr>
          <w:rFonts w:ascii="Calibri" w:eastAsia="Calibri" w:hAnsi="Calibri" w:cs="Calibri"/>
          <w:i/>
        </w:rPr>
        <w:t>obiit</w:t>
      </w:r>
      <w:proofErr w:type="spellEnd"/>
      <w:r>
        <w:rPr>
          <w:rFonts w:ascii="Calibri" w:eastAsia="Calibri" w:hAnsi="Calibri" w:cs="Calibri"/>
          <w:i/>
        </w:rPr>
        <w:t xml:space="preserve"> Petrus c(ano)</w:t>
      </w:r>
      <w:proofErr w:type="spellStart"/>
      <w:r>
        <w:rPr>
          <w:rFonts w:ascii="Calibri" w:eastAsia="Calibri" w:hAnsi="Calibri" w:cs="Calibri"/>
          <w:i/>
        </w:rPr>
        <w:t>nicu</w:t>
      </w:r>
      <w:proofErr w:type="spellEnd"/>
      <w:r>
        <w:rPr>
          <w:rFonts w:ascii="Calibri" w:eastAsia="Calibri" w:hAnsi="Calibri" w:cs="Calibri"/>
          <w:i/>
        </w:rPr>
        <w:t>(s)</w:t>
      </w:r>
    </w:p>
    <w:p w14:paraId="263FA6C8" w14:textId="4B2D6510" w:rsidR="006D4B44" w:rsidRDefault="006D4B44" w:rsidP="006D4B44">
      <w:pPr>
        <w:rPr>
          <w:color w:val="FF0000"/>
          <w:sz w:val="28"/>
          <w:szCs w:val="28"/>
        </w:rPr>
      </w:pPr>
      <w:r>
        <w:rPr>
          <w:rFonts w:ascii="Calibri" w:eastAsia="Calibri" w:hAnsi="Calibri" w:cs="Calibri"/>
          <w:i/>
        </w:rPr>
        <w:t xml:space="preserve">4 kalendas </w:t>
      </w:r>
      <w:proofErr w:type="spellStart"/>
      <w:r>
        <w:rPr>
          <w:rFonts w:ascii="Calibri" w:eastAsia="Calibri" w:hAnsi="Calibri" w:cs="Calibri"/>
          <w:i/>
        </w:rPr>
        <w:t>decembris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obiit</w:t>
      </w:r>
      <w:proofErr w:type="spellEnd"/>
      <w:r>
        <w:rPr>
          <w:rFonts w:ascii="Calibri" w:eastAsia="Calibri" w:hAnsi="Calibri" w:cs="Calibri"/>
          <w:i/>
        </w:rPr>
        <w:t xml:space="preserve"> Petrus </w:t>
      </w:r>
      <w:proofErr w:type="spellStart"/>
      <w:r>
        <w:rPr>
          <w:rFonts w:ascii="Calibri" w:eastAsia="Calibri" w:hAnsi="Calibri" w:cs="Calibri"/>
          <w:i/>
        </w:rPr>
        <w:t>canonicus</w:t>
      </w:r>
      <w:proofErr w:type="spellEnd"/>
    </w:p>
    <w:p w14:paraId="6F073CCE" w14:textId="77777777" w:rsidR="007B414D" w:rsidRDefault="007B414D" w:rsidP="007B414D">
      <w:pPr>
        <w:rPr>
          <w:color w:val="FF0000"/>
          <w:sz w:val="28"/>
          <w:szCs w:val="28"/>
        </w:rPr>
      </w:pPr>
    </w:p>
    <w:p w14:paraId="03B49B9B" w14:textId="77777777" w:rsidR="007B414D" w:rsidRPr="00DA64B0" w:rsidRDefault="007B414D" w:rsidP="007B414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DA64B0">
        <w:rPr>
          <w:rFonts w:ascii="Calibri" w:eastAsia="Calibri" w:hAnsi="Calibri" w:cs="Calibri"/>
          <w:sz w:val="24"/>
          <w:szCs w:val="24"/>
        </w:rPr>
        <w:t xml:space="preserve">Le 4 des calendes de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décembre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(28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novembre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mort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r w:rsidRPr="00DA64B0">
        <w:rPr>
          <w:rFonts w:ascii="Calibri" w:eastAsia="Calibri" w:hAnsi="Calibri" w:cs="Calibri"/>
          <w:i/>
          <w:sz w:val="24"/>
          <w:szCs w:val="24"/>
        </w:rPr>
        <w:t>Petrus</w:t>
      </w:r>
      <w:r w:rsidRPr="00DA64B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chanoine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>.</w:t>
      </w:r>
    </w:p>
    <w:p w14:paraId="42C24B05" w14:textId="77777777" w:rsidR="007B414D" w:rsidRPr="00DA64B0" w:rsidRDefault="007B414D" w:rsidP="007B414D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DA64B0">
        <w:rPr>
          <w:rFonts w:ascii="Calibri" w:eastAsia="Calibri" w:hAnsi="Calibri" w:cs="Calibri"/>
          <w:sz w:val="24"/>
          <w:szCs w:val="24"/>
        </w:rPr>
        <w:t xml:space="preserve">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texte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cette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brève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inscription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été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tracé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champ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épigraphique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circulaire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divisé en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deux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par une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bande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géométrique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, à son tour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inclus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un cadre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végétal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DA64B0">
        <w:rPr>
          <w:rFonts w:ascii="Calibri" w:eastAsia="Calibri" w:hAnsi="Calibri" w:cs="Calibri"/>
          <w:sz w:val="24"/>
          <w:szCs w:val="24"/>
        </w:rPr>
        <w:t>complexe ;</w:t>
      </w:r>
      <w:proofErr w:type="gram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c’est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une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disposition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peu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fréquente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 monde des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inscriptions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médiévales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qui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témoigne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créativité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lapicides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Roda. Les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lettres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sont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majuscules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gothiques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finement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dessinées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avec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éléments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d'ornementation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voir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 </w:t>
      </w:r>
      <w:r w:rsidRPr="00DA64B0">
        <w:rPr>
          <w:rFonts w:ascii="Calibri" w:eastAsia="Calibri" w:hAnsi="Calibri" w:cs="Calibri"/>
          <w:i/>
          <w:sz w:val="24"/>
          <w:szCs w:val="24"/>
        </w:rPr>
        <w:t>O</w:t>
      </w:r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DA64B0">
        <w:rPr>
          <w:rFonts w:ascii="Calibri" w:eastAsia="Calibri" w:hAnsi="Calibri" w:cs="Calibri"/>
          <w:i/>
          <w:sz w:val="24"/>
          <w:szCs w:val="24"/>
        </w:rPr>
        <w:t>obiit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et le </w:t>
      </w:r>
      <w:r w:rsidRPr="00DA64B0">
        <w:rPr>
          <w:rFonts w:ascii="Calibri" w:eastAsia="Calibri" w:hAnsi="Calibri" w:cs="Calibri"/>
          <w:i/>
          <w:sz w:val="24"/>
          <w:szCs w:val="24"/>
        </w:rPr>
        <w:t>E</w:t>
      </w:r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r w:rsidRPr="00DA64B0">
        <w:rPr>
          <w:rFonts w:ascii="Calibri" w:eastAsia="Calibri" w:hAnsi="Calibri" w:cs="Calibri"/>
          <w:i/>
          <w:sz w:val="24"/>
          <w:szCs w:val="24"/>
        </w:rPr>
        <w:t>Petrus</w:t>
      </w:r>
      <w:r w:rsidRPr="00DA64B0">
        <w:rPr>
          <w:rFonts w:ascii="Calibri" w:eastAsia="Calibri" w:hAnsi="Calibri" w:cs="Calibri"/>
          <w:sz w:val="24"/>
          <w:szCs w:val="24"/>
        </w:rPr>
        <w:t xml:space="preserve">). La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lettre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terminant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nom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, en forme de </w:t>
      </w:r>
      <w:r w:rsidRPr="00DA64B0">
        <w:rPr>
          <w:rFonts w:ascii="Calibri" w:eastAsia="Calibri" w:hAnsi="Calibri" w:cs="Calibri"/>
          <w:i/>
          <w:sz w:val="24"/>
          <w:szCs w:val="24"/>
        </w:rPr>
        <w:t>Z</w:t>
      </w:r>
      <w:r w:rsidRPr="00DA64B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réalité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un </w:t>
      </w:r>
      <w:r w:rsidRPr="00DA64B0">
        <w:rPr>
          <w:rFonts w:ascii="Calibri" w:eastAsia="Calibri" w:hAnsi="Calibri" w:cs="Calibri"/>
          <w:i/>
          <w:sz w:val="24"/>
          <w:szCs w:val="24"/>
        </w:rPr>
        <w:t>S</w:t>
      </w:r>
      <w:r w:rsidRPr="00DA64B0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Comme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dans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bon nombre des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inscriptions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du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cloître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Roda, 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texte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présentant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nombreuses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abréviations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informe de la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mort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Pierre,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avec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la date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selon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calendrier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romain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et son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statut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au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sein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DA64B0">
        <w:rPr>
          <w:rFonts w:ascii="Calibri" w:eastAsia="Calibri" w:hAnsi="Calibri" w:cs="Calibri"/>
          <w:sz w:val="24"/>
          <w:szCs w:val="24"/>
        </w:rPr>
        <w:t>cathédrale</w:t>
      </w:r>
      <w:proofErr w:type="spellEnd"/>
      <w:r w:rsidRPr="00DA64B0">
        <w:rPr>
          <w:rFonts w:ascii="Calibri" w:eastAsia="Calibri" w:hAnsi="Calibri" w:cs="Calibri"/>
          <w:sz w:val="24"/>
          <w:szCs w:val="24"/>
        </w:rPr>
        <w:t xml:space="preserve"> de Roda.</w:t>
      </w:r>
    </w:p>
    <w:p w14:paraId="7ED45231" w14:textId="77777777" w:rsidR="00583EBF" w:rsidRDefault="00583EBF"/>
    <w:sectPr w:rsidR="0058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167AB"/>
    <w:multiLevelType w:val="multilevel"/>
    <w:tmpl w:val="94D43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336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4D"/>
    <w:rsid w:val="00583EBF"/>
    <w:rsid w:val="006D4B44"/>
    <w:rsid w:val="006E2951"/>
    <w:rsid w:val="007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6900"/>
  <w15:chartTrackingRefBased/>
  <w15:docId w15:val="{E442EAA3-8AC6-451E-971F-F1EAE228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4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Anton Val</dc:creator>
  <cp:keywords/>
  <dc:description/>
  <cp:lastModifiedBy>Lois Anton Val</cp:lastModifiedBy>
  <cp:revision>2</cp:revision>
  <dcterms:created xsi:type="dcterms:W3CDTF">2022-04-14T21:20:00Z</dcterms:created>
  <dcterms:modified xsi:type="dcterms:W3CDTF">2022-04-15T14:44:00Z</dcterms:modified>
</cp:coreProperties>
</file>